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91160" w14:textId="77777777" w:rsidR="00A349F6" w:rsidRDefault="00A349F6">
      <w:pPr>
        <w:rPr>
          <w:rFonts w:ascii="Open Sans" w:eastAsia="Open Sans" w:hAnsi="Open Sans" w:cs="Open Sans"/>
          <w:b/>
          <w:sz w:val="20"/>
          <w:szCs w:val="20"/>
        </w:rPr>
      </w:pPr>
    </w:p>
    <w:p w14:paraId="00000001" w14:textId="77777777" w:rsidR="001461E6" w:rsidRDefault="00055A75">
      <w:pPr>
        <w:rPr>
          <w:rFonts w:ascii="Open Sans" w:eastAsia="Open Sans" w:hAnsi="Open Sans" w:cs="Open Sans"/>
          <w:b/>
          <w:sz w:val="20"/>
          <w:szCs w:val="20"/>
        </w:rPr>
      </w:pP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Biedrības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Latvijas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Lauku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tūrisma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asociācija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“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Lauku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ceļotājs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”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biedru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-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lauku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tūrisma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uzņēmēju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priekšlikumi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birokrātiskā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sloga</w:t>
      </w:r>
      <w:proofErr w:type="spellEnd"/>
      <w:r>
        <w:rPr>
          <w:rFonts w:ascii="Open Sans" w:eastAsia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mazināšanu</w:t>
      </w:r>
      <w:proofErr w:type="spellEnd"/>
    </w:p>
    <w:p w14:paraId="00000002" w14:textId="77777777" w:rsidR="001461E6" w:rsidRDefault="001461E6">
      <w:pPr>
        <w:rPr>
          <w:rFonts w:ascii="Open Sans" w:eastAsia="Open Sans" w:hAnsi="Open Sans" w:cs="Open Sans"/>
          <w:sz w:val="20"/>
          <w:szCs w:val="20"/>
        </w:rPr>
      </w:pPr>
    </w:p>
    <w:p w14:paraId="00000003" w14:textId="77777777" w:rsidR="001461E6" w:rsidRDefault="00055A75">
      <w:pPr>
        <w:numPr>
          <w:ilvl w:val="0"/>
          <w:numId w:val="9"/>
        </w:num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automātiska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atjaunošana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apmaiņa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starp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valsts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uzturētajām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</w:p>
    <w:p w14:paraId="00000004" w14:textId="77777777" w:rsidR="001461E6" w:rsidRDefault="00055A75">
      <w:p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Piemēri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05" w14:textId="77777777" w:rsidR="001461E6" w:rsidRDefault="00055A75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NVA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  <w:u w:val="single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Iedzīvotāju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reģistrs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NVA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desmit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atjaunota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personas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uzvārda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maiņu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deklarēto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adresi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Iedzīvotāju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aktuālā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kontaktinformācija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fiziskā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persona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savu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uzvārdu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citus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nomainīt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</w:t>
      </w:r>
      <w:r>
        <w:rPr>
          <w:rFonts w:ascii="Open Sans" w:eastAsia="Open Sans" w:hAnsi="Open Sans" w:cs="Open Sans"/>
          <w:sz w:val="20"/>
          <w:szCs w:val="20"/>
        </w:rPr>
        <w:t>var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jāiesniedz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pieteikums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jo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iestādes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darbiniekam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esot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speciāli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konkrētajai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lietai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jānospiež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atjaunošanas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poga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Lai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precizētu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to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izdarīt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tērēt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sazvanoties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sarakstoties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  <w:r>
        <w:rPr>
          <w:rFonts w:ascii="Open Sans" w:eastAsia="Open Sans" w:hAnsi="Open Sans" w:cs="Open Sans"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sz w:val="20"/>
          <w:szCs w:val="20"/>
        </w:rPr>
        <w:t>Iedzīvotāju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automātiska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atjaunošanās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NVA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autjaunošanai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resursus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nodrošinātu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aktualitāti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Ja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atjaunoti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piemēram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nokavēt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pieteikšanos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subsidētajai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skolēnu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nodarbinātībai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vasarā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06" w14:textId="77777777" w:rsidR="001461E6" w:rsidRDefault="00055A75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Zemesgrāmata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  <w:u w:val="single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Uzņēmumu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reģistrs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Mainot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nosaukumu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Zemesgrāmatā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automātiski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vajadzētu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parādīties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ierakstam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nosaukums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mainīts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jaunajam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nosaukumam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maiņas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Protams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izšķirošais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numurs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taču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nosaukumam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jābūt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norāditam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korekti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Lai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Zeme</w:t>
      </w:r>
      <w:r>
        <w:rPr>
          <w:rFonts w:ascii="Open Sans" w:eastAsia="Open Sans" w:hAnsi="Open Sans" w:cs="Open Sans"/>
          <w:sz w:val="20"/>
          <w:szCs w:val="20"/>
        </w:rPr>
        <w:t>sgrāmatā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nomainītu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nosaukumu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jāraksta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iesniegums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jāsūta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to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izskata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darbinieks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tērē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atbildot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iesniegumu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labojot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Vienlaicīgi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tai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vaj</w:t>
      </w:r>
      <w:r>
        <w:rPr>
          <w:rFonts w:ascii="Open Sans" w:eastAsia="Open Sans" w:hAnsi="Open Sans" w:cs="Open Sans"/>
          <w:sz w:val="20"/>
          <w:szCs w:val="20"/>
        </w:rPr>
        <w:t>adzētu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pieejamai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Zemesgrāmatai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Nevajadzētu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pieļaut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tērēt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resursus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bezjēdzīgiem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rakstu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07" w14:textId="77777777" w:rsidR="001461E6" w:rsidRDefault="00055A75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Bērna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personu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apliecinoši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dokumenti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Šobrīd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vedot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pie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ārsta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uzrādīt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dzimšanas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apliecību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papīra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formātā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kurā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</w:t>
      </w:r>
      <w:r>
        <w:rPr>
          <w:rFonts w:ascii="Open Sans" w:eastAsia="Open Sans" w:hAnsi="Open Sans" w:cs="Open Sans"/>
          <w:sz w:val="20"/>
          <w:szCs w:val="20"/>
        </w:rPr>
        <w:t>rakstīts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varētu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vienkāršot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uzrādot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savu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ID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karti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un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piekrītot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pārbaudīšanai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Iedzīvotāju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r>
        <w:rPr>
          <w:rFonts w:ascii="Open Sans" w:eastAsia="Open Sans" w:hAnsi="Open Sans" w:cs="Open Sans"/>
          <w:sz w:val="20"/>
          <w:szCs w:val="20"/>
        </w:rPr>
        <w:br/>
      </w:r>
    </w:p>
    <w:p w14:paraId="00000008" w14:textId="77777777" w:rsidR="001461E6" w:rsidRDefault="00055A75">
      <w:pPr>
        <w:numPr>
          <w:ilvl w:val="0"/>
          <w:numId w:val="9"/>
        </w:numPr>
        <w:spacing w:before="240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Centrālās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Statistikas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pārvaldes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sagatavošanas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birokrātisko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slogu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iegūstot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</w:t>
      </w:r>
      <w:r>
        <w:rPr>
          <w:rFonts w:ascii="Open Sans" w:eastAsia="Open Sans" w:hAnsi="Open Sans" w:cs="Open Sans"/>
          <w:sz w:val="20"/>
          <w:szCs w:val="20"/>
        </w:rPr>
        <w:t>ttiecīgajām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iestādēm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automātiski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09" w14:textId="77777777" w:rsidR="001461E6" w:rsidRDefault="00055A75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: </w:t>
      </w:r>
    </w:p>
    <w:p w14:paraId="0000000A" w14:textId="77777777" w:rsidR="001461E6" w:rsidRDefault="00055A75">
      <w:pPr>
        <w:numPr>
          <w:ilvl w:val="0"/>
          <w:numId w:val="3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CSP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atskaite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izlietotajiem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enerģijas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kilovatiem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grāmatvedībā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šādas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jo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uzskaitīti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EUR.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CSP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varētu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iegūt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Sadales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Tīkla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piekrišanu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netērējot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</w:t>
      </w:r>
      <w:r>
        <w:rPr>
          <w:rFonts w:ascii="Open Sans" w:eastAsia="Open Sans" w:hAnsi="Open Sans" w:cs="Open Sans"/>
          <w:sz w:val="20"/>
          <w:szCs w:val="20"/>
        </w:rPr>
        <w:t>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rakstīšanai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CSP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0B" w14:textId="77777777" w:rsidR="001461E6" w:rsidRDefault="00055A75">
      <w:pPr>
        <w:numPr>
          <w:ilvl w:val="0"/>
          <w:numId w:val="3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lastRenderedPageBreak/>
        <w:t>Atskaite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Darbs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-2.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iekļaujamie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pieejami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valsts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iestāžu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: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darbinieku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sadalījums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dzimuma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(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Iedzīvotāju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reģistrs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),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nostrādātās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stundas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(VID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devēja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ziņojums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),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grūtnieču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uzskaite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(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ģimenes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ārsti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).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CSP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jāiegūst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valsts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iestāžu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tie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pieejami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nevis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jātērē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rakstīšanai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</w:p>
    <w:p w14:paraId="0000000C" w14:textId="77777777" w:rsidR="001461E6" w:rsidRDefault="00055A75">
      <w:pPr>
        <w:numPr>
          <w:ilvl w:val="0"/>
          <w:numId w:val="3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ceturkšņa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rādītājiem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pieprasīti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ne visas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grāmatvedības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programmas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izdod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piemēram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3.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c</w:t>
      </w:r>
      <w:r>
        <w:rPr>
          <w:rFonts w:ascii="Open Sans" w:eastAsia="Open Sans" w:hAnsi="Open Sans" w:cs="Open Sans"/>
          <w:sz w:val="20"/>
          <w:szCs w:val="20"/>
        </w:rPr>
        <w:t>eturksni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Grāmatvedības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summēti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1.,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2.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3.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ceturksni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nevis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atsevišķi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3.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ceturksni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0D" w14:textId="77777777" w:rsidR="001461E6" w:rsidRDefault="00055A75">
      <w:pPr>
        <w:numPr>
          <w:ilvl w:val="0"/>
          <w:numId w:val="3"/>
        </w:numP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  <w:u w:val="single"/>
        </w:rPr>
        <w:t xml:space="preserve">Intrastat </w:t>
      </w:r>
      <w:r>
        <w:rPr>
          <w:rFonts w:ascii="Open Sans" w:eastAsia="Open Sans" w:hAnsi="Open Sans" w:cs="Open Sans"/>
          <w:sz w:val="20"/>
          <w:szCs w:val="20"/>
        </w:rPr>
        <w:t xml:space="preserve">-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kurš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strādā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tikai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muitas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zonā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ieskaitot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preču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kodus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pieejami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muitā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Preču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kodi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pieejami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rēķinos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</w:t>
      </w:r>
      <w:r>
        <w:rPr>
          <w:rFonts w:ascii="Open Sans" w:eastAsia="Open Sans" w:hAnsi="Open Sans" w:cs="Open Sans"/>
          <w:sz w:val="20"/>
          <w:szCs w:val="20"/>
        </w:rPr>
        <w:t>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iegūstami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muitas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tādēļ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tērēt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atsevišķai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atskaitei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0E" w14:textId="77777777" w:rsidR="001461E6" w:rsidRDefault="00055A75">
      <w:pPr>
        <w:numPr>
          <w:ilvl w:val="0"/>
          <w:numId w:val="3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Pārskats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apgrozījumu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. </w:t>
      </w:r>
      <w:r>
        <w:rPr>
          <w:rFonts w:ascii="Open Sans" w:eastAsia="Open Sans" w:hAnsi="Open Sans" w:cs="Open Sans"/>
          <w:sz w:val="20"/>
          <w:szCs w:val="20"/>
        </w:rPr>
        <w:t xml:space="preserve">SCP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pat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zināms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apgrozījumu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skaidrs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šādu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vākšanas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mērķis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pielietojums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0F" w14:textId="77777777" w:rsidR="001461E6" w:rsidRDefault="001461E6">
      <w:pPr>
        <w:ind w:left="720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010" w14:textId="77777777" w:rsidR="001461E6" w:rsidRDefault="00055A75">
      <w:pPr>
        <w:numPr>
          <w:ilvl w:val="0"/>
          <w:numId w:val="9"/>
        </w:numPr>
        <w:spacing w:before="240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Pašvaldību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iestādes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-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Būvvalde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</w:t>
      </w:r>
      <w:r>
        <w:rPr>
          <w:rFonts w:ascii="Open Sans" w:eastAsia="Open Sans" w:hAnsi="Open Sans" w:cs="Open Sans"/>
          <w:sz w:val="20"/>
          <w:szCs w:val="20"/>
        </w:rPr>
        <w:t>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optimizēt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birokrātiskos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procesus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novērst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izmaksu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pieaugumu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1" w14:textId="77777777" w:rsidR="001461E6" w:rsidRDefault="00055A75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Piemēri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12" w14:textId="77777777" w:rsidR="001461E6" w:rsidRDefault="00055A75">
      <w:pPr>
        <w:numPr>
          <w:ilvl w:val="0"/>
          <w:numId w:val="4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Saskaņojums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ienformatīvai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norādei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Lai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pagarinātu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saskaņojumu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nelielai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informatīvai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norādei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iebraucamā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ceļa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galā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projektu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rakstīt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iesnieg</w:t>
      </w:r>
      <w:r>
        <w:rPr>
          <w:rFonts w:ascii="Open Sans" w:eastAsia="Open Sans" w:hAnsi="Open Sans" w:cs="Open Sans"/>
          <w:sz w:val="20"/>
          <w:szCs w:val="20"/>
        </w:rPr>
        <w:t>umus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Lai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birokrātiskajam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procesam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šobrīd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prasa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būvvaldei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rēķinu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5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priekšu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Būvvalde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varētu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vienkārši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izsūtīt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rēķinu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informatīvo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reizi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reizi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trīs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gados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atceļot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ikreizēju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</w:t>
      </w:r>
      <w:r>
        <w:rPr>
          <w:rFonts w:ascii="Open Sans" w:eastAsia="Open Sans" w:hAnsi="Open Sans" w:cs="Open Sans"/>
          <w:sz w:val="20"/>
          <w:szCs w:val="20"/>
        </w:rPr>
        <w:t>ņošanu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ja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informatīvā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nemainās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13" w14:textId="77777777" w:rsidR="001461E6" w:rsidRDefault="00055A75">
      <w:pPr>
        <w:numPr>
          <w:ilvl w:val="0"/>
          <w:numId w:val="4"/>
        </w:num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Saskaņojums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viesu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  <w:u w:val="single"/>
        </w:rPr>
        <w:t>nama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norādei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-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plakātam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process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pašvaldībā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ceļu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daļā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ļoti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sarežģīts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pastāvot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principiālam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strīdam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to,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attiecīgā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reklāma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informācija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</w:t>
      </w:r>
      <w:r>
        <w:rPr>
          <w:rFonts w:ascii="Open Sans" w:eastAsia="Open Sans" w:hAnsi="Open Sans" w:cs="Open Sans"/>
          <w:sz w:val="20"/>
          <w:szCs w:val="20"/>
        </w:rPr>
        <w:t>tļauto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attālumu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valsts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nozīmes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ceļa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izsniegts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trīs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šādu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saskaņojumu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izsniegt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bez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termiņa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ja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informatīvā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norāde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-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plakāts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bez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vizuālām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un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tehniskām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izmaiņām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4" w14:textId="77777777" w:rsidR="001461E6" w:rsidRDefault="00055A75">
      <w:pPr>
        <w:numPr>
          <w:ilvl w:val="0"/>
          <w:numId w:val="4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Ēkas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tehniskā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apsekošana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Jaunievedums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nosacīju</w:t>
      </w:r>
      <w:r>
        <w:rPr>
          <w:rFonts w:ascii="Open Sans" w:eastAsia="Open Sans" w:hAnsi="Open Sans" w:cs="Open Sans"/>
          <w:sz w:val="20"/>
          <w:szCs w:val="20"/>
        </w:rPr>
        <w:t>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apsekošanu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veic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tikai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konkrēti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būvinspektori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Attiecīgi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ievērojami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pieaug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apsekošanas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izmaksas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palielina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finansiālo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slogu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5" w14:textId="77777777" w:rsidR="001461E6" w:rsidRDefault="00055A75">
      <w:pPr>
        <w:numPr>
          <w:ilvl w:val="0"/>
          <w:numId w:val="4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Būvinspektoru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kompetence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Jautājums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likumdošanas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interpretācijām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Pagasta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būvinspektori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garumā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nodar</w:t>
      </w:r>
      <w:r>
        <w:rPr>
          <w:rFonts w:ascii="Open Sans" w:eastAsia="Open Sans" w:hAnsi="Open Sans" w:cs="Open Sans"/>
          <w:sz w:val="20"/>
          <w:szCs w:val="20"/>
        </w:rPr>
        <w:t>bojas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draudēšanu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sodiem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tiesu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Novada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būvvaldes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vadītāja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problēmu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atrisina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10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minūšu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visām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iesaistītajām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pusēm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apmierinošā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veidā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uzlabot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būvinspektoru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profesionalitāti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attieksmi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pret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atsevišķās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pašvaldī</w:t>
      </w:r>
      <w:r>
        <w:rPr>
          <w:rFonts w:ascii="Open Sans" w:eastAsia="Open Sans" w:hAnsi="Open Sans" w:cs="Open Sans"/>
          <w:sz w:val="20"/>
          <w:szCs w:val="20"/>
        </w:rPr>
        <w:t>bās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6" w14:textId="77777777" w:rsidR="001461E6" w:rsidRDefault="001461E6">
      <w:pPr>
        <w:ind w:left="720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017" w14:textId="77777777" w:rsidR="001461E6" w:rsidRDefault="00055A75">
      <w:pPr>
        <w:numPr>
          <w:ilvl w:val="0"/>
          <w:numId w:val="9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Pašvaldību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noteikumi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Pašvaldību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noteikumi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nedrīkst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finansiāli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ietekmēt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izmaksas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liedzot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izvēlēties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pakalpojumu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sniedzējus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8" w14:textId="77777777" w:rsidR="001461E6" w:rsidRDefault="00055A75">
      <w:p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Piemērs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19" w14:textId="77777777" w:rsidR="001461E6" w:rsidRDefault="00055A75">
      <w:pPr>
        <w:numPr>
          <w:ilvl w:val="0"/>
          <w:numId w:val="5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Atkritumu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apsaimniekošana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Atrodoties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pašvaldības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teritorijā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pie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robežas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citu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pašvaldību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ļauta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iespēja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slēgt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līgumu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sadzīves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atkritumu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apsaimniekotāju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savas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izvēles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Cenu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starpība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vairākkārtēja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neizdevīgi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1A" w14:textId="77777777" w:rsidR="001461E6" w:rsidRDefault="001461E6">
      <w:pPr>
        <w:ind w:left="720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01B" w14:textId="77777777" w:rsidR="001461E6" w:rsidRDefault="00055A75">
      <w:pPr>
        <w:numPr>
          <w:ilvl w:val="0"/>
          <w:numId w:val="9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Veselības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</w:t>
      </w:r>
      <w:r>
        <w:rPr>
          <w:rFonts w:ascii="Open Sans" w:eastAsia="Open Sans" w:hAnsi="Open Sans" w:cs="Open Sans"/>
          <w:sz w:val="20"/>
          <w:szCs w:val="20"/>
        </w:rPr>
        <w:t>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izvērtēt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C" w14:textId="77777777" w:rsidR="001461E6" w:rsidRDefault="00055A75">
      <w:p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Piemēri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1D" w14:textId="77777777" w:rsidR="001461E6" w:rsidRDefault="00055A75">
      <w:pPr>
        <w:numPr>
          <w:ilvl w:val="0"/>
          <w:numId w:val="7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Dzeramā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ūdens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monitorings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jānodod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Realitātē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vienkārši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pārkopēts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izmainīts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E" w14:textId="77777777" w:rsidR="001461E6" w:rsidRDefault="00055A75">
      <w:pPr>
        <w:numPr>
          <w:ilvl w:val="0"/>
          <w:numId w:val="7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Ūdens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statistika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C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ūdens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atļaujai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jānodod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Realitātē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vienkārši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pārkopē</w:t>
      </w:r>
      <w:r>
        <w:rPr>
          <w:rFonts w:ascii="Open Sans" w:eastAsia="Open Sans" w:hAnsi="Open Sans" w:cs="Open Sans"/>
          <w:sz w:val="20"/>
          <w:szCs w:val="20"/>
        </w:rPr>
        <w:t>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izmainīts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datums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F" w14:textId="77777777" w:rsidR="001461E6" w:rsidRDefault="00055A75">
      <w:pPr>
        <w:numPr>
          <w:ilvl w:val="0"/>
          <w:numId w:val="7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Ūdens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analīzes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jānodod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katru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ūdens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kvalitāte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jau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32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bez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izmaiņām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0" w14:textId="77777777" w:rsidR="001461E6" w:rsidRDefault="00055A75">
      <w:pPr>
        <w:numPr>
          <w:ilvl w:val="0"/>
          <w:numId w:val="7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Veselības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inspekcijas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pārbaudes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Veic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kontroli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baseiniem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pirtīm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dod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atzinumus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nometnēm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ierodas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katru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tērējot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nodokļu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maksātāju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naudu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veic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apskati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skatījumā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ikgadējā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inspekcija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atceļama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1" w14:textId="77777777" w:rsidR="001461E6" w:rsidRDefault="001461E6">
      <w:pPr>
        <w:rPr>
          <w:rFonts w:ascii="Open Sans" w:eastAsia="Open Sans" w:hAnsi="Open Sans" w:cs="Open Sans"/>
          <w:sz w:val="20"/>
          <w:szCs w:val="20"/>
        </w:rPr>
      </w:pPr>
    </w:p>
    <w:p w14:paraId="00000022" w14:textId="77777777" w:rsidR="001461E6" w:rsidRDefault="00055A75">
      <w:pPr>
        <w:numPr>
          <w:ilvl w:val="0"/>
          <w:numId w:val="9"/>
        </w:num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sakārtot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inspekciju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nepamatotu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finansiālo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slogu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3" w14:textId="77777777" w:rsidR="001461E6" w:rsidRDefault="00055A75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Piemēri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24" w14:textId="77777777" w:rsidR="001461E6" w:rsidRDefault="00055A75">
      <w:pPr>
        <w:numPr>
          <w:ilvl w:val="0"/>
          <w:numId w:val="8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inspekcijas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katru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mēnesi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maksā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uzraugošajai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institūcijai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86.00 EUR.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saprotams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šīs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summas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pamatojums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Rēķins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izrakstīts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katru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mēnesi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Realitātē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inspektors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ierodas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apse</w:t>
      </w:r>
      <w:r>
        <w:rPr>
          <w:rFonts w:ascii="Open Sans" w:eastAsia="Open Sans" w:hAnsi="Open Sans" w:cs="Open Sans"/>
          <w:sz w:val="20"/>
          <w:szCs w:val="20"/>
        </w:rPr>
        <w:t>kot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apsekot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viesu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sniegtu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atzinumu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nometnei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inspektoriem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izsniedza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aktu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6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mēnešiem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Viesu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nams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šajā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vairākas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bērnu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nometnes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kārtas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un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katru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ieradās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cits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inspektors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un deva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saskaņoj</w:t>
      </w:r>
      <w:r>
        <w:rPr>
          <w:rFonts w:ascii="Open Sans" w:eastAsia="Open Sans" w:hAnsi="Open Sans" w:cs="Open Sans"/>
          <w:sz w:val="20"/>
          <w:szCs w:val="20"/>
        </w:rPr>
        <w:t>umu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to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posmu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tam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pašam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viesu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Tas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liecina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nu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iestādē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laba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prakse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organizācijā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arī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VUGD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neuzticas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saviem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inspektoriem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un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veic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pārbaudi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pārbaudei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5" w14:textId="77777777" w:rsidR="001461E6" w:rsidRDefault="00055A75">
      <w:pPr>
        <w:numPr>
          <w:ilvl w:val="0"/>
          <w:numId w:val="8"/>
        </w:numP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  <w:u w:val="single"/>
        </w:rPr>
        <w:t xml:space="preserve">ES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nosacījumu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interpretācija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Atsaucoties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Eiropas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nosacījum</w:t>
      </w:r>
      <w:r>
        <w:rPr>
          <w:rFonts w:ascii="Open Sans" w:eastAsia="Open Sans" w:hAnsi="Open Sans" w:cs="Open Sans"/>
          <w:sz w:val="20"/>
          <w:szCs w:val="20"/>
        </w:rPr>
        <w:t>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pieprasīts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pārbūvēt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signalizācijas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prasa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ievērojamus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finansiālus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ieguldījumus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Nav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saprotams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pamatojums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jo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esošā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nodrošina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funkcionalitāti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Ssadūmošanas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gadījumā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signāls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nosūtīts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pulti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sistē</w:t>
      </w:r>
      <w:r>
        <w:rPr>
          <w:rFonts w:ascii="Open Sans" w:eastAsia="Open Sans" w:hAnsi="Open Sans" w:cs="Open Sans"/>
          <w:sz w:val="20"/>
          <w:szCs w:val="20"/>
        </w:rPr>
        <w:t>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pietiekami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jutīga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Pat tad,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ja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virtuvē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piedeg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eļļa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tūdaļ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ieslēdzas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sirēna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un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atskan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zvans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no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apsardzes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firmas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26" w14:textId="77777777" w:rsidR="001461E6" w:rsidRDefault="001461E6">
      <w:pPr>
        <w:jc w:val="both"/>
        <w:rPr>
          <w:rFonts w:ascii="Open Sans" w:eastAsia="Open Sans" w:hAnsi="Open Sans" w:cs="Open Sans"/>
          <w:sz w:val="20"/>
          <w:szCs w:val="20"/>
        </w:rPr>
      </w:pPr>
    </w:p>
    <w:p w14:paraId="00000027" w14:textId="77777777" w:rsidR="001461E6" w:rsidRDefault="00055A75">
      <w:pPr>
        <w:numPr>
          <w:ilvl w:val="0"/>
          <w:numId w:val="9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Viedās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administrācijas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reģionālās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attīstības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ministrija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Teritoriālās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sadarbības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projektu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kontroles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nodaļa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bi</w:t>
      </w:r>
      <w:r>
        <w:rPr>
          <w:rFonts w:ascii="Open Sans" w:eastAsia="Open Sans" w:hAnsi="Open Sans" w:cs="Open Sans"/>
          <w:sz w:val="20"/>
          <w:szCs w:val="20"/>
        </w:rPr>
        <w:t>rokrātisko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procesu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8" w14:textId="77777777" w:rsidR="001461E6" w:rsidRDefault="00055A75">
      <w:p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Piemērs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</w:p>
    <w:p w14:paraId="00000029" w14:textId="77777777" w:rsidR="001461E6" w:rsidRDefault="00055A75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Projektu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atskaites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Uzņēmējs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īsteno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projektu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iesniedz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pamatojuma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dokumentus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izlietotajam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finansējumam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iesniegti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līgumi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rēķini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grāmatojumi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kontējumi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Papildus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birokrātisku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ievirzi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tiek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pieprasīti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ļoti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detalizēti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</w:t>
      </w:r>
      <w:r>
        <w:rPr>
          <w:rFonts w:ascii="Open Sans" w:eastAsia="Open Sans" w:hAnsi="Open Sans" w:cs="Open Sans"/>
          <w:sz w:val="20"/>
          <w:szCs w:val="20"/>
        </w:rPr>
        <w:t>apilddokumenti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grāmatvedības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lietvedības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skaidrojumi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samazināt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atskaites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pamatojuma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detalizācijas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pakāpi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būtu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pietiekama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projekta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īstenošanai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būtības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A" w14:textId="77777777" w:rsidR="001461E6" w:rsidRDefault="00055A75">
      <w:pPr>
        <w:numPr>
          <w:ilvl w:val="0"/>
          <w:numId w:val="9"/>
        </w:numPr>
        <w:spacing w:before="240"/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Minimālās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higiēnas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prasības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pārtikas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uzņēmumos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MK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noteikumi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409.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</w:t>
      </w:r>
      <w:r>
        <w:rPr>
          <w:rFonts w:ascii="Open Sans" w:eastAsia="Open Sans" w:hAnsi="Open Sans" w:cs="Open Sans"/>
          <w:sz w:val="20"/>
          <w:szCs w:val="20"/>
        </w:rPr>
        <w:t>pieciešams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atcelt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prasību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atkārtotiem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apmācību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kursiem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darbiniekiem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2B" w14:textId="77777777" w:rsidR="001461E6" w:rsidRDefault="00055A75">
      <w:pPr>
        <w:spacing w:after="240"/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Piemērs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: </w:t>
      </w:r>
    </w:p>
    <w:p w14:paraId="0000002C" w14:textId="77777777" w:rsidR="001461E6" w:rsidRDefault="00055A75">
      <w:pPr>
        <w:numPr>
          <w:ilvl w:val="0"/>
          <w:numId w:val="6"/>
        </w:numPr>
        <w:spacing w:after="240"/>
        <w:jc w:val="both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Atkārtoti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apmācību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u w:val="single"/>
        </w:rPr>
        <w:t>kursi</w:t>
      </w:r>
      <w:proofErr w:type="spellEnd"/>
      <w:r>
        <w:rPr>
          <w:rFonts w:ascii="Open Sans" w:eastAsia="Open Sans" w:hAnsi="Open Sans" w:cs="Open Sans"/>
          <w:sz w:val="20"/>
          <w:szCs w:val="20"/>
          <w:u w:val="single"/>
        </w:rPr>
        <w:t>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Pakalpojuma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sniedzējs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pārtiku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saistītā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–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restorāns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viesnīca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Saskaņā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patreizējiem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noteikumiem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jāatkārto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ik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pēc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trīs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gadiem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Uzņēmumā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darbinieki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lielu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pieredzi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ilgstoši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strādā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šajā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nozarē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Atkārtoti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kursi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par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minimā</w:t>
      </w:r>
      <w:r>
        <w:rPr>
          <w:rFonts w:ascii="Open Sans" w:eastAsia="Open Sans" w:hAnsi="Open Sans" w:cs="Open Sans"/>
          <w:sz w:val="20"/>
          <w:szCs w:val="20"/>
        </w:rPr>
        <w:t>lajām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prasībām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lieki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tostarp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maksā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naudu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patērē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nevajadzīgi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laiku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sectPr w:rsidR="00146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E5728" w14:textId="77777777" w:rsidR="00055A75" w:rsidRDefault="00055A75" w:rsidP="00A349F6">
      <w:pPr>
        <w:spacing w:line="240" w:lineRule="auto"/>
      </w:pPr>
      <w:r>
        <w:separator/>
      </w:r>
    </w:p>
  </w:endnote>
  <w:endnote w:type="continuationSeparator" w:id="0">
    <w:p w14:paraId="2CF5470C" w14:textId="77777777" w:rsidR="00055A75" w:rsidRDefault="00055A75" w:rsidP="00A34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31" w14:textId="77777777" w:rsidR="00A349F6" w:rsidRDefault="00A34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450C" w14:textId="67B48D97" w:rsidR="00A349F6" w:rsidRDefault="00A349F6" w:rsidP="00A349F6">
    <w:pPr>
      <w:pStyle w:val="NormalWeb"/>
    </w:pPr>
    <w:r>
      <w:rPr>
        <w:noProof/>
      </w:rPr>
      <w:drawing>
        <wp:inline distT="0" distB="0" distL="0" distR="0" wp14:anchorId="37067D31" wp14:editId="35786B2E">
          <wp:extent cx="6000750" cy="627071"/>
          <wp:effectExtent l="0" t="0" r="0" b="1905"/>
          <wp:docPr id="2" name="Picture 2" descr="C:\Users\anna\celotajs.lv\Anna\Lauku_kaje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celotajs.lv\Anna\Lauku_kaje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138" cy="63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4B08E" w14:textId="77777777" w:rsidR="00A349F6" w:rsidRDefault="00A349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492D" w14:textId="77777777" w:rsidR="00A349F6" w:rsidRDefault="00A34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4BC59" w14:textId="77777777" w:rsidR="00055A75" w:rsidRDefault="00055A75" w:rsidP="00A349F6">
      <w:pPr>
        <w:spacing w:line="240" w:lineRule="auto"/>
      </w:pPr>
      <w:r>
        <w:separator/>
      </w:r>
    </w:p>
  </w:footnote>
  <w:footnote w:type="continuationSeparator" w:id="0">
    <w:p w14:paraId="0CC8D944" w14:textId="77777777" w:rsidR="00055A75" w:rsidRDefault="00055A75" w:rsidP="00A34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17F4" w14:textId="77777777" w:rsidR="00A349F6" w:rsidRDefault="00A34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608C0" w14:textId="2A66099E" w:rsidR="00A349F6" w:rsidRDefault="00A349F6" w:rsidP="00A349F6">
    <w:pPr>
      <w:pStyle w:val="Header"/>
      <w:jc w:val="center"/>
    </w:pPr>
    <w:r>
      <w:rPr>
        <w:noProof/>
        <w:lang w:val="en-US"/>
      </w:rPr>
      <w:drawing>
        <wp:inline distT="0" distB="0" distL="0" distR="0" wp14:anchorId="75C095F1" wp14:editId="15A37ED4">
          <wp:extent cx="895350" cy="738664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-logo-pilns-krasai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31" cy="73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3FD77" w14:textId="77777777" w:rsidR="00A349F6" w:rsidRDefault="00A349F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D9CB1" w14:textId="77777777" w:rsidR="00A349F6" w:rsidRDefault="00A349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0F55"/>
    <w:multiLevelType w:val="multilevel"/>
    <w:tmpl w:val="AA784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76E2933"/>
    <w:multiLevelType w:val="multilevel"/>
    <w:tmpl w:val="69F66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A72690E"/>
    <w:multiLevelType w:val="multilevel"/>
    <w:tmpl w:val="2CECD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EBB5142"/>
    <w:multiLevelType w:val="multilevel"/>
    <w:tmpl w:val="2DBE1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BB22E8C"/>
    <w:multiLevelType w:val="multilevel"/>
    <w:tmpl w:val="B836A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8835CD0"/>
    <w:multiLevelType w:val="multilevel"/>
    <w:tmpl w:val="DFF66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D8802F3"/>
    <w:multiLevelType w:val="multilevel"/>
    <w:tmpl w:val="B3DEF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ACE22E5"/>
    <w:multiLevelType w:val="multilevel"/>
    <w:tmpl w:val="B7501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F707C33"/>
    <w:multiLevelType w:val="multilevel"/>
    <w:tmpl w:val="1062D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1E6"/>
    <w:rsid w:val="00055A75"/>
    <w:rsid w:val="001461E6"/>
    <w:rsid w:val="00A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49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F6"/>
  </w:style>
  <w:style w:type="paragraph" w:styleId="Footer">
    <w:name w:val="footer"/>
    <w:basedOn w:val="Normal"/>
    <w:link w:val="FooterChar"/>
    <w:uiPriority w:val="99"/>
    <w:unhideWhenUsed/>
    <w:rsid w:val="00A349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F6"/>
  </w:style>
  <w:style w:type="paragraph" w:styleId="BalloonText">
    <w:name w:val="Balloon Text"/>
    <w:basedOn w:val="Normal"/>
    <w:link w:val="BalloonTextChar"/>
    <w:uiPriority w:val="99"/>
    <w:semiHidden/>
    <w:unhideWhenUsed/>
    <w:rsid w:val="00A349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49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F6"/>
  </w:style>
  <w:style w:type="paragraph" w:styleId="Footer">
    <w:name w:val="footer"/>
    <w:basedOn w:val="Normal"/>
    <w:link w:val="FooterChar"/>
    <w:uiPriority w:val="99"/>
    <w:unhideWhenUsed/>
    <w:rsid w:val="00A349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F6"/>
  </w:style>
  <w:style w:type="paragraph" w:styleId="BalloonText">
    <w:name w:val="Balloon Text"/>
    <w:basedOn w:val="Normal"/>
    <w:link w:val="BalloonTextChar"/>
    <w:uiPriority w:val="99"/>
    <w:semiHidden/>
    <w:unhideWhenUsed/>
    <w:rsid w:val="00A349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2025-03-28T10:35:00Z</dcterms:created>
  <dcterms:modified xsi:type="dcterms:W3CDTF">2025-03-28T10:35:00Z</dcterms:modified>
</cp:coreProperties>
</file>